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bCs/>
          <w:color w:val="000000" w:themeColor="text1"/>
          <w:sz w:val="32"/>
          <w:szCs w:val="32"/>
          <w14:textFill>
            <w14:solidFill>
              <w14:schemeClr w14:val="tx1"/>
            </w14:solidFill>
          </w14:textFill>
        </w:rPr>
      </w:pPr>
      <w:r>
        <w:rPr>
          <w:rFonts w:hint="eastAsia" w:cs="宋体"/>
          <w:b/>
          <w:bCs/>
          <w:color w:val="000000" w:themeColor="text1"/>
          <w:sz w:val="32"/>
          <w:szCs w:val="32"/>
          <w14:textFill>
            <w14:solidFill>
              <w14:schemeClr w14:val="tx1"/>
            </w14:solidFill>
          </w14:textFill>
        </w:rPr>
        <w:t>大数据学院职称评定办法</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根据《中北大学高级专业技术职务评审条件》的文件，以品德、学术水平和业绩为导向，特制定《大数据学院职称评定评分细则》（下面简称细则）。本细则适用于参加本院职称初步评定的所有人，考核时间为任现职期间，进入本评定程序的教师必须已经符合中北大学相关的职称评定条例。</w:t>
      </w:r>
    </w:p>
    <w:p>
      <w:pPr>
        <w:adjustRightInd w:val="0"/>
        <w:snapToGrid w:val="0"/>
        <w:spacing w:line="360" w:lineRule="auto"/>
        <w:rPr>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一、评定办法</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以个人申报和办公室审核相结合的办法，按照本细则涉及的打分体系（第二部分、第三部分；）所规定的办法给出参评人员的得分，并依据该得分进行排队（排队及打分结果需要至少提前一周公示、接受监督），称为成果排队。</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．院职称评定委员会对参加职称评定人员进行综合评定并排队，综合所有评议组成员的排队结果给出参评人员的评议排队。</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．根据成果排队名次值占</w:t>
      </w:r>
      <w:r>
        <w:rPr>
          <w:color w:val="000000" w:themeColor="text1"/>
          <w:sz w:val="24"/>
          <w:szCs w:val="24"/>
          <w14:textFill>
            <w14:solidFill>
              <w14:schemeClr w14:val="tx1"/>
            </w14:solidFill>
          </w14:textFill>
        </w:rPr>
        <w:t>80%</w:t>
      </w:r>
      <w:r>
        <w:rPr>
          <w:rFonts w:hint="eastAsia" w:cs="宋体"/>
          <w:color w:val="000000" w:themeColor="text1"/>
          <w:sz w:val="24"/>
          <w:szCs w:val="24"/>
          <w14:textFill>
            <w14:solidFill>
              <w14:schemeClr w14:val="tx1"/>
            </w14:solidFill>
          </w14:textFill>
        </w:rPr>
        <w:t>权重，评议排队名次值占</w:t>
      </w:r>
      <w:r>
        <w:rPr>
          <w:color w:val="000000" w:themeColor="text1"/>
          <w:sz w:val="24"/>
          <w:szCs w:val="24"/>
          <w14:textFill>
            <w14:solidFill>
              <w14:schemeClr w14:val="tx1"/>
            </w14:solidFill>
          </w14:textFill>
        </w:rPr>
        <w:t>20%</w:t>
      </w:r>
      <w:r>
        <w:rPr>
          <w:rFonts w:hint="eastAsia" w:cs="宋体"/>
          <w:color w:val="000000" w:themeColor="text1"/>
          <w:sz w:val="24"/>
          <w:szCs w:val="24"/>
          <w14:textFill>
            <w14:solidFill>
              <w14:schemeClr w14:val="tx1"/>
            </w14:solidFill>
          </w14:textFill>
        </w:rPr>
        <w:t>权重的指导思想给出参评人员的排队名次。</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．根据学校给定的上报校职称评定委员会的比例，从最终排队结果中选择可上校职称评定委员会的参评人员。</w:t>
      </w:r>
    </w:p>
    <w:p>
      <w:pPr>
        <w:spacing w:line="360" w:lineRule="auto"/>
        <w:ind w:firstLine="480" w:firstLineChars="200"/>
        <w:jc w:val="left"/>
        <w:rPr>
          <w:rFonts w:cs="宋体"/>
          <w:color w:val="000000" w:themeColor="text1"/>
          <w:sz w:val="24"/>
          <w:szCs w:val="24"/>
          <w14:textFill>
            <w14:solidFill>
              <w14:schemeClr w14:val="tx1"/>
            </w14:solidFill>
          </w14:textFill>
        </w:rPr>
      </w:pPr>
      <w:r>
        <w:rPr>
          <w:rFonts w:cs="宋体"/>
          <w:color w:val="000000" w:themeColor="text1"/>
          <w:sz w:val="24"/>
          <w:szCs w:val="24"/>
          <w14:textFill>
            <w14:solidFill>
              <w14:schemeClr w14:val="tx1"/>
            </w14:solidFill>
          </w14:textFill>
        </w:rPr>
        <w:t>5</w:t>
      </w:r>
      <w:r>
        <w:rPr>
          <w:rFonts w:hint="eastAsia" w:cs="宋体"/>
          <w:color w:val="000000" w:themeColor="text1"/>
          <w:sz w:val="24"/>
          <w:szCs w:val="24"/>
          <w14:textFill>
            <w14:solidFill>
              <w14:schemeClr w14:val="tx1"/>
            </w14:solidFill>
          </w14:textFill>
        </w:rPr>
        <w:t>．通过学术答辩的申报人员，院职称评定委员会结合答辩情况、业绩成果和同行专家评议意见等进行综合评价并投票，出席成员数超过应到成员数的</w:t>
      </w:r>
      <w:r>
        <w:rPr>
          <w:rFonts w:cs="宋体"/>
          <w:color w:val="000000" w:themeColor="text1"/>
          <w:sz w:val="24"/>
          <w:szCs w:val="24"/>
          <w14:textFill>
            <w14:solidFill>
              <w14:schemeClr w14:val="tx1"/>
            </w14:solidFill>
          </w14:textFill>
        </w:rPr>
        <w:t>2/3</w:t>
      </w:r>
      <w:r>
        <w:rPr>
          <w:rFonts w:hint="eastAsia" w:cs="宋体"/>
          <w:color w:val="000000" w:themeColor="text1"/>
          <w:sz w:val="24"/>
          <w:szCs w:val="24"/>
          <w14:textFill>
            <w14:solidFill>
              <w14:schemeClr w14:val="tx1"/>
            </w14:solidFill>
          </w14:textFill>
        </w:rPr>
        <w:t>（含）会议有效，“同意推荐”票数超过出席成员数的</w:t>
      </w:r>
      <w:r>
        <w:rPr>
          <w:rFonts w:cs="宋体"/>
          <w:color w:val="000000" w:themeColor="text1"/>
          <w:sz w:val="24"/>
          <w:szCs w:val="24"/>
          <w14:textFill>
            <w14:solidFill>
              <w14:schemeClr w14:val="tx1"/>
            </w14:solidFill>
          </w14:textFill>
        </w:rPr>
        <w:t>2/3</w:t>
      </w:r>
      <w:r>
        <w:rPr>
          <w:rFonts w:hint="eastAsia" w:cs="宋体"/>
          <w:color w:val="000000" w:themeColor="text1"/>
          <w:sz w:val="24"/>
          <w:szCs w:val="24"/>
          <w14:textFill>
            <w14:solidFill>
              <w14:schemeClr w14:val="tx1"/>
            </w14:solidFill>
          </w14:textFill>
        </w:rPr>
        <w:t>（含）以上方可向学校推荐。</w:t>
      </w:r>
    </w:p>
    <w:p>
      <w:pPr>
        <w:adjustRightInd w:val="0"/>
        <w:snapToGrid w:val="0"/>
        <w:spacing w:line="360" w:lineRule="auto"/>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6. 参评人员的成果包括两部分：</w:t>
      </w:r>
    </w:p>
    <w:p>
      <w:pPr>
        <w:adjustRightInd w:val="0"/>
        <w:snapToGrid w:val="0"/>
        <w:spacing w:line="360" w:lineRule="auto"/>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（1）A项成果体现参评人员的学术水平（以</w:t>
      </w:r>
      <w:r>
        <w:rPr>
          <w:rFonts w:hint="eastAsia" w:cs="宋体"/>
          <w:color w:val="000000" w:themeColor="text1"/>
          <w:sz w:val="24"/>
          <w:szCs w:val="24"/>
          <w:lang w:eastAsia="zh-CN"/>
          <w14:textFill>
            <w14:solidFill>
              <w14:schemeClr w14:val="tx1"/>
            </w14:solidFill>
          </w14:textFill>
        </w:rPr>
        <w:t>学院</w:t>
      </w:r>
      <w:r>
        <w:rPr>
          <w:rFonts w:hint="eastAsia" w:cs="宋体"/>
          <w:color w:val="000000" w:themeColor="text1"/>
          <w:sz w:val="24"/>
          <w:szCs w:val="24"/>
          <w14:textFill>
            <w14:solidFill>
              <w14:schemeClr w14:val="tx1"/>
            </w14:solidFill>
          </w14:textFill>
        </w:rPr>
        <w:t>相关</w:t>
      </w:r>
      <w:r>
        <w:rPr>
          <w:rFonts w:hint="eastAsia" w:cs="宋体"/>
          <w:color w:val="000000" w:themeColor="text1"/>
          <w:sz w:val="24"/>
          <w:szCs w:val="24"/>
          <w:lang w:eastAsia="zh-CN"/>
          <w14:textFill>
            <w14:solidFill>
              <w14:schemeClr w14:val="tx1"/>
            </w14:solidFill>
          </w14:textFill>
        </w:rPr>
        <w:t>科</w:t>
      </w:r>
      <w:r>
        <w:rPr>
          <w:rFonts w:hint="eastAsia" w:cs="宋体"/>
          <w:color w:val="000000" w:themeColor="text1"/>
          <w:sz w:val="24"/>
          <w:szCs w:val="24"/>
          <w14:textFill>
            <w14:solidFill>
              <w14:schemeClr w14:val="tx1"/>
            </w14:solidFill>
          </w14:textFill>
        </w:rPr>
        <w:t>室认定为依据）。</w:t>
      </w:r>
    </w:p>
    <w:p>
      <w:pPr>
        <w:adjustRightInd w:val="0"/>
        <w:snapToGrid w:val="0"/>
        <w:spacing w:line="360" w:lineRule="auto"/>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（2）B项成果为日常工作业绩，体现参评人员对学科发展所做的贡献和带动作用。</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7、成果公示本人签字后，除可补充收录证明外，不能再增加新的成果。</w:t>
      </w:r>
    </w:p>
    <w:p>
      <w:pPr>
        <w:adjustRightInd w:val="0"/>
        <w:snapToGrid w:val="0"/>
        <w:spacing w:line="360" w:lineRule="auto"/>
        <w:rPr>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二、教学科研打分体系</w:t>
      </w:r>
      <w:r>
        <w:rPr>
          <w:b/>
          <w:bCs/>
          <w:color w:val="000000" w:themeColor="text1"/>
          <w:sz w:val="24"/>
          <w:szCs w:val="24"/>
          <w14:textFill>
            <w14:solidFill>
              <w14:schemeClr w14:val="tx1"/>
            </w14:solidFill>
          </w14:textFill>
        </w:rPr>
        <w:t>A</w:t>
      </w:r>
      <w:r>
        <w:rPr>
          <w:rFonts w:hint="eastAsia" w:cs="宋体"/>
          <w:color w:val="000000" w:themeColor="text1"/>
          <w:sz w:val="24"/>
          <w:szCs w:val="24"/>
          <w14:textFill>
            <w14:solidFill>
              <w14:schemeClr w14:val="tx1"/>
            </w14:solidFill>
          </w14:textFill>
        </w:rPr>
        <w:t>（计分办法见附表</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w:t>
      </w:r>
    </w:p>
    <w:p>
      <w:pPr>
        <w:adjustRightInd w:val="0"/>
        <w:snapToGrid w:val="0"/>
        <w:spacing w:line="360" w:lineRule="auto"/>
        <w:rPr>
          <w:b/>
          <w:bCs/>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1.  A1</w:t>
      </w:r>
      <w:r>
        <w:rPr>
          <w:rFonts w:hint="eastAsia" w:cs="宋体"/>
          <w:color w:val="000000" w:themeColor="text1"/>
          <w:sz w:val="24"/>
          <w:szCs w:val="24"/>
          <w14:textFill>
            <w14:solidFill>
              <w14:schemeClr w14:val="tx1"/>
            </w14:solidFill>
          </w14:textFill>
        </w:rPr>
        <w:t>部分：</w:t>
      </w:r>
    </w:p>
    <w:p>
      <w:pPr>
        <w:numPr>
          <w:ilvl w:val="0"/>
          <w:numId w:val="1"/>
        </w:numPr>
        <w:adjustRightInd w:val="0"/>
        <w:snapToGrid w:val="0"/>
        <w:spacing w:line="360" w:lineRule="auto"/>
        <w:ind w:hanging="573"/>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项目：</w:t>
      </w:r>
      <w:r>
        <w:rPr>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项</w:t>
      </w:r>
    </w:p>
    <w:p>
      <w:pPr>
        <w:numPr>
          <w:ilvl w:val="0"/>
          <w:numId w:val="1"/>
        </w:numPr>
        <w:adjustRightInd w:val="0"/>
        <w:snapToGrid w:val="0"/>
        <w:spacing w:line="360" w:lineRule="auto"/>
        <w:ind w:hanging="573"/>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论文：</w:t>
      </w:r>
      <w:r>
        <w:rPr>
          <w:color w:val="000000" w:themeColor="text1"/>
          <w:sz w:val="24"/>
          <w:szCs w:val="24"/>
          <w14:textFill>
            <w14:solidFill>
              <w14:schemeClr w14:val="tx1"/>
            </w14:solidFill>
          </w14:textFill>
        </w:rPr>
        <w:t>5</w:t>
      </w:r>
      <w:r>
        <w:rPr>
          <w:rFonts w:hint="eastAsia" w:cs="宋体"/>
          <w:color w:val="000000" w:themeColor="text1"/>
          <w:sz w:val="24"/>
          <w:szCs w:val="24"/>
          <w14:textFill>
            <w14:solidFill>
              <w14:schemeClr w14:val="tx1"/>
            </w14:solidFill>
          </w14:textFill>
        </w:rPr>
        <w:t>篇</w:t>
      </w:r>
    </w:p>
    <w:p>
      <w:pPr>
        <w:numPr>
          <w:ilvl w:val="0"/>
          <w:numId w:val="1"/>
        </w:numPr>
        <w:adjustRightInd w:val="0"/>
        <w:snapToGrid w:val="0"/>
        <w:spacing w:line="360" w:lineRule="auto"/>
        <w:ind w:hanging="573"/>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获奖：</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项</w:t>
      </w:r>
    </w:p>
    <w:p>
      <w:pPr>
        <w:numPr>
          <w:ilvl w:val="0"/>
          <w:numId w:val="1"/>
        </w:numPr>
        <w:adjustRightInd w:val="0"/>
        <w:snapToGrid w:val="0"/>
        <w:spacing w:line="360" w:lineRule="auto"/>
        <w:ind w:hanging="573"/>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专著：</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部</w:t>
      </w:r>
    </w:p>
    <w:p>
      <w:pPr>
        <w:numPr>
          <w:ilvl w:val="0"/>
          <w:numId w:val="1"/>
        </w:numPr>
        <w:adjustRightInd w:val="0"/>
        <w:snapToGrid w:val="0"/>
        <w:spacing w:line="360" w:lineRule="auto"/>
        <w:ind w:hanging="573"/>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教材</w:t>
      </w:r>
      <w:r>
        <w:rPr>
          <w:color w:val="000000" w:themeColor="text1"/>
          <w:sz w:val="24"/>
          <w:szCs w:val="24"/>
          <w14:textFill>
            <w14:solidFill>
              <w14:schemeClr w14:val="tx1"/>
            </w14:solidFill>
          </w14:textFill>
        </w:rPr>
        <w:t>/</w:t>
      </w:r>
      <w:r>
        <w:rPr>
          <w:rFonts w:hint="eastAsia" w:cs="宋体"/>
          <w:color w:val="000000" w:themeColor="text1"/>
          <w:sz w:val="24"/>
          <w:szCs w:val="24"/>
          <w14:textFill>
            <w14:solidFill>
              <w14:schemeClr w14:val="tx1"/>
            </w14:solidFill>
          </w14:textFill>
        </w:rPr>
        <w:t>著作：</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本</w:t>
      </w:r>
    </w:p>
    <w:p>
      <w:pPr>
        <w:numPr>
          <w:ilvl w:val="0"/>
          <w:numId w:val="1"/>
        </w:numPr>
        <w:adjustRightInd w:val="0"/>
        <w:snapToGrid w:val="0"/>
        <w:spacing w:line="360" w:lineRule="auto"/>
        <w:ind w:hanging="573"/>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专利：</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项</w:t>
      </w:r>
    </w:p>
    <w:p>
      <w:pPr>
        <w:numPr>
          <w:ilvl w:val="0"/>
          <w:numId w:val="1"/>
        </w:numPr>
        <w:adjustRightInd w:val="0"/>
        <w:snapToGrid w:val="0"/>
        <w:spacing w:line="360" w:lineRule="auto"/>
        <w:ind w:hanging="573"/>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精品课程：</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门</w:t>
      </w:r>
    </w:p>
    <w:p>
      <w:pPr>
        <w:numPr>
          <w:ilvl w:val="0"/>
          <w:numId w:val="1"/>
        </w:numPr>
        <w:adjustRightInd w:val="0"/>
        <w:snapToGrid w:val="0"/>
        <w:spacing w:line="360" w:lineRule="auto"/>
        <w:ind w:hanging="573"/>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指导竞赛：计分</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次</w:t>
      </w:r>
    </w:p>
    <w:p>
      <w:pPr>
        <w:adjustRightInd w:val="0"/>
        <w:snapToGrid w:val="0"/>
        <w:spacing w:line="360" w:lineRule="auto"/>
        <w:ind w:left="567"/>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  A2</w:t>
      </w:r>
      <w:r>
        <w:rPr>
          <w:rFonts w:hint="eastAsia" w:cs="宋体"/>
          <w:color w:val="000000" w:themeColor="text1"/>
          <w:sz w:val="24"/>
          <w:szCs w:val="24"/>
          <w14:textFill>
            <w14:solidFill>
              <w14:schemeClr w14:val="tx1"/>
            </w14:solidFill>
          </w14:textFill>
        </w:rPr>
        <w:t>部分</w:t>
      </w:r>
    </w:p>
    <w:p>
      <w:pPr>
        <w:adjustRightInd w:val="0"/>
        <w:snapToGrid w:val="0"/>
        <w:spacing w:line="360" w:lineRule="auto"/>
        <w:ind w:left="567"/>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A1</w:t>
      </w:r>
      <w:r>
        <w:rPr>
          <w:rFonts w:hint="eastAsia" w:cs="宋体"/>
          <w:color w:val="000000" w:themeColor="text1"/>
          <w:sz w:val="24"/>
          <w:szCs w:val="24"/>
          <w14:textFill>
            <w14:solidFill>
              <w14:schemeClr w14:val="tx1"/>
            </w14:solidFill>
          </w14:textFill>
        </w:rPr>
        <w:t>部分未计分的其余成果以计分办法中的分数的</w:t>
      </w:r>
      <w:r>
        <w:rPr>
          <w:rFonts w:hint="eastAsia"/>
          <w:color w:val="FF0000"/>
          <w:sz w:val="24"/>
          <w:szCs w:val="24"/>
        </w:rPr>
        <w:t>2</w:t>
      </w:r>
      <w:r>
        <w:rPr>
          <w:color w:val="FF0000"/>
          <w:sz w:val="24"/>
          <w:szCs w:val="24"/>
        </w:rPr>
        <w:t>/10</w:t>
      </w:r>
      <w:r>
        <w:rPr>
          <w:rFonts w:hint="eastAsia" w:cs="宋体"/>
          <w:color w:val="000000" w:themeColor="text1"/>
          <w:sz w:val="24"/>
          <w:szCs w:val="24"/>
          <w14:textFill>
            <w14:solidFill>
              <w14:schemeClr w14:val="tx1"/>
            </w14:solidFill>
          </w14:textFill>
        </w:rPr>
        <w:t>来计算。</w:t>
      </w:r>
    </w:p>
    <w:p>
      <w:pPr>
        <w:adjustRightInd w:val="0"/>
        <w:snapToGrid w:val="0"/>
        <w:spacing w:line="360" w:lineRule="auto"/>
        <w:ind w:left="567"/>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  A=A1+A2</w:t>
      </w:r>
    </w:p>
    <w:p>
      <w:pPr>
        <w:adjustRightInd w:val="0"/>
        <w:snapToGrid w:val="0"/>
        <w:spacing w:line="360" w:lineRule="auto"/>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附表</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w:t>
      </w:r>
    </w:p>
    <w:tbl>
      <w:tblPr>
        <w:tblStyle w:val="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466"/>
        <w:gridCol w:w="462"/>
        <w:gridCol w:w="1929"/>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57" w:type="dxa"/>
            <w:gridSpan w:val="4"/>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工作内容</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排名对应分值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承担</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科研</w:t>
            </w:r>
          </w:p>
          <w:p>
            <w:pPr>
              <w:adjustRightInd w:val="0"/>
              <w:snapToGrid w:val="0"/>
              <w:spacing w:line="360" w:lineRule="auto"/>
              <w:jc w:val="center"/>
              <w:rPr>
                <w:color w:val="000000" w:themeColor="text1"/>
                <w:sz w:val="24"/>
                <w:szCs w:val="24"/>
                <w:vertAlign w:val="superscript"/>
                <w14:textFill>
                  <w14:solidFill>
                    <w14:schemeClr w14:val="tx1"/>
                  </w14:solidFill>
                </w14:textFill>
              </w:rPr>
            </w:pPr>
            <w:r>
              <w:rPr>
                <w:rFonts w:hint="eastAsia" w:cs="宋体"/>
                <w:color w:val="000000" w:themeColor="text1"/>
                <w:sz w:val="24"/>
                <w:szCs w:val="24"/>
                <w14:textFill>
                  <w14:solidFill>
                    <w14:schemeClr w14:val="tx1"/>
                  </w14:solidFill>
                </w14:textFill>
              </w:rPr>
              <w:t>项目</w:t>
            </w: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10</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省部级</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省教育厅</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横向</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FF0000"/>
                <w:sz w:val="24"/>
                <w:szCs w:val="24"/>
              </w:rPr>
              <w:t>（</w:t>
            </w:r>
            <w:r>
              <w:rPr>
                <w:color w:val="FF0000"/>
                <w:sz w:val="24"/>
                <w:szCs w:val="24"/>
              </w:rPr>
              <w:t>2</w:t>
            </w:r>
            <w:r>
              <w:rPr>
                <w:rFonts w:hint="eastAsia"/>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00"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承担</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教改</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项目</w:t>
            </w: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10</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p>
          <w:p>
            <w:pPr>
              <w:adjustRightInd w:val="0"/>
              <w:snapToGrid w:val="0"/>
              <w:spacing w:line="360" w:lineRule="auto"/>
              <w:jc w:val="center"/>
              <w:rPr>
                <w:color w:val="000000" w:themeColor="text1"/>
                <w:sz w:val="24"/>
                <w:szCs w:val="24"/>
                <w14:textFill>
                  <w14:solidFill>
                    <w14:schemeClr w14:val="tx1"/>
                  </w14:solidFill>
                </w14:textFill>
              </w:rPr>
            </w:pP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论</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文</w:t>
            </w:r>
          </w:p>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SCI </w:t>
            </w:r>
            <w:r>
              <w:rPr>
                <w:rFonts w:hint="eastAsia" w:cs="宋体"/>
                <w:color w:val="000000" w:themeColor="text1"/>
                <w:sz w:val="24"/>
                <w:szCs w:val="24"/>
                <w14:textFill>
                  <w14:solidFill>
                    <w14:schemeClr w14:val="tx1"/>
                  </w14:solidFill>
                </w14:textFill>
              </w:rPr>
              <w:t>一区</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SCI</w:t>
            </w:r>
            <w:r>
              <w:rPr>
                <w:rFonts w:hint="eastAsia" w:cs="宋体"/>
                <w:color w:val="000000" w:themeColor="text1"/>
                <w:sz w:val="24"/>
                <w:szCs w:val="24"/>
                <w14:textFill>
                  <w14:solidFill>
                    <w14:schemeClr w14:val="tx1"/>
                  </w14:solidFill>
                </w14:textFill>
              </w:rPr>
              <w:t>二区</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SCI</w:t>
            </w:r>
            <w:r>
              <w:rPr>
                <w:rFonts w:hint="eastAsia" w:cs="宋体"/>
                <w:color w:val="000000" w:themeColor="text1"/>
                <w:sz w:val="24"/>
                <w:szCs w:val="24"/>
                <w14:textFill>
                  <w14:solidFill>
                    <w14:schemeClr w14:val="tx1"/>
                  </w14:solidFill>
                </w14:textFill>
              </w:rPr>
              <w:t>三区</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SCI</w:t>
            </w:r>
            <w:r>
              <w:rPr>
                <w:rFonts w:hint="eastAsia" w:cs="宋体"/>
                <w:color w:val="000000" w:themeColor="text1"/>
                <w:sz w:val="24"/>
                <w:szCs w:val="24"/>
                <w14:textFill>
                  <w14:solidFill>
                    <w14:schemeClr w14:val="tx1"/>
                  </w14:solidFill>
                </w14:textFill>
              </w:rPr>
              <w:t>四区</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 EI</w:t>
            </w:r>
            <w:r>
              <w:rPr>
                <w:rFonts w:hint="eastAsia" w:cs="宋体"/>
                <w:color w:val="000000" w:themeColor="text1"/>
                <w:sz w:val="24"/>
                <w:szCs w:val="24"/>
                <w14:textFill>
                  <w14:solidFill>
                    <w14:schemeClr w14:val="tx1"/>
                  </w14:solidFill>
                </w14:textFill>
              </w:rPr>
              <w:t>期刊</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CSSCI</w:t>
            </w:r>
            <w:r>
              <w:rPr>
                <w:rFonts w:hint="eastAsia" w:cs="宋体"/>
                <w:color w:val="000000" w:themeColor="text1"/>
                <w:sz w:val="24"/>
                <w:szCs w:val="24"/>
                <w14:textFill>
                  <w14:solidFill>
                    <w14:schemeClr w14:val="tx1"/>
                  </w14:solidFill>
                </w14:textFill>
              </w:rPr>
              <w:t>、一级</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核心</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二级</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00"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科</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研</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获</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奖</w:t>
            </w:r>
          </w:p>
          <w:p>
            <w:pPr>
              <w:adjustRightInd w:val="0"/>
              <w:snapToGrid w:val="0"/>
              <w:spacing w:line="360" w:lineRule="auto"/>
              <w:jc w:val="center"/>
              <w:rPr>
                <w:color w:val="000000" w:themeColor="text1"/>
                <w:sz w:val="24"/>
                <w:szCs w:val="24"/>
                <w14:textFill>
                  <w14:solidFill>
                    <w14:schemeClr w14:val="tx1"/>
                  </w14:solidFill>
                </w14:textFill>
              </w:rPr>
            </w:pPr>
          </w:p>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国家级科技奖</w:t>
            </w: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一等奖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20</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15</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9</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二等奖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19</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17</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15</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9</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三等奖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10</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省部级科技奖</w:t>
            </w: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一等奖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10</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二等奖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三等奖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省高校科技奖</w:t>
            </w: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一等奖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二等奖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p>
          <w:p>
            <w:pPr>
              <w:adjustRightInd w:val="0"/>
              <w:snapToGrid w:val="0"/>
              <w:spacing w:line="360" w:lineRule="auto"/>
              <w:jc w:val="center"/>
              <w:rPr>
                <w:color w:val="000000" w:themeColor="text1"/>
                <w:sz w:val="24"/>
                <w:szCs w:val="24"/>
                <w14:textFill>
                  <w14:solidFill>
                    <w14:schemeClr w14:val="tx1"/>
                  </w14:solidFill>
                </w14:textFill>
              </w:rPr>
            </w:pPr>
          </w:p>
          <w:p>
            <w:pPr>
              <w:adjustRightInd w:val="0"/>
              <w:snapToGrid w:val="0"/>
              <w:spacing w:line="360" w:lineRule="auto"/>
              <w:jc w:val="center"/>
              <w:rPr>
                <w:color w:val="000000" w:themeColor="text1"/>
                <w:sz w:val="24"/>
                <w:szCs w:val="24"/>
                <w14:textFill>
                  <w14:solidFill>
                    <w14:schemeClr w14:val="tx1"/>
                  </w14:solidFill>
                </w14:textFill>
              </w:rPr>
            </w:pPr>
          </w:p>
          <w:p>
            <w:pPr>
              <w:adjustRightInd w:val="0"/>
              <w:snapToGrid w:val="0"/>
              <w:spacing w:line="360" w:lineRule="auto"/>
              <w:jc w:val="center"/>
              <w:rPr>
                <w:color w:val="000000" w:themeColor="text1"/>
                <w:sz w:val="24"/>
                <w:szCs w:val="24"/>
                <w14:textFill>
                  <w14:solidFill>
                    <w14:schemeClr w14:val="tx1"/>
                  </w14:solidFill>
                </w14:textFill>
              </w:rPr>
            </w:pP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教</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学</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获</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奖</w:t>
            </w:r>
          </w:p>
        </w:tc>
        <w:tc>
          <w:tcPr>
            <w:tcW w:w="1928" w:type="dxa"/>
            <w:gridSpan w:val="2"/>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国家级教学奖</w:t>
            </w: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一等奖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20</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15</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二等奖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19</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17</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15</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三等奖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10</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省部级教学奖</w:t>
            </w: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一等奖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10</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二等奖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三等奖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国家级精品资源课程</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9</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3857"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省级精品资源课程</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r>
              <w:rPr>
                <w:rFonts w:hint="eastAsia" w:cs="宋体"/>
                <w:color w:val="000000" w:themeColor="text1"/>
                <w:sz w:val="24"/>
                <w:szCs w:val="24"/>
                <w14:textFill>
                  <w14:solidFill>
                    <w14:schemeClr w14:val="tx1"/>
                  </w14:solidFill>
                </w14:textFill>
              </w:rPr>
              <w:t>大竞赛奖指导教师</w:t>
            </w: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国家一等奖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w:t>
            </w:r>
            <w:r>
              <w:rPr>
                <w:rFonts w:hint="eastAsia" w:cs="宋体"/>
                <w:color w:val="FF0000"/>
                <w:sz w:val="24"/>
                <w:szCs w:val="24"/>
              </w:rPr>
              <w:t>（</w:t>
            </w:r>
            <w:r>
              <w:rPr>
                <w:rFonts w:hint="eastAsia"/>
                <w:color w:val="FF0000"/>
                <w:sz w:val="24"/>
                <w:szCs w:val="24"/>
              </w:rPr>
              <w:t>2</w:t>
            </w:r>
            <w:r>
              <w:rPr>
                <w:rFonts w:hint="eastAsia" w:cs="宋体"/>
                <w:color w:val="FF0000"/>
                <w:sz w:val="24"/>
                <w:szCs w:val="24"/>
              </w:rPr>
              <w:t>），（</w:t>
            </w:r>
            <w:r>
              <w:rPr>
                <w:rFonts w:hint="eastAsia"/>
                <w:color w:val="FF0000"/>
                <w:sz w:val="24"/>
                <w:szCs w:val="24"/>
              </w:rPr>
              <w:t>1</w:t>
            </w:r>
            <w:r>
              <w:rPr>
                <w:rFonts w:hint="eastAsia"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国家二等奖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w:t>
            </w:r>
            <w:r>
              <w:rPr>
                <w:rFonts w:hint="eastAsia" w:cs="宋体"/>
                <w:color w:val="FF0000"/>
                <w:sz w:val="24"/>
                <w:szCs w:val="24"/>
              </w:rPr>
              <w:t>（</w:t>
            </w:r>
            <w:r>
              <w:rPr>
                <w:rFonts w:hint="eastAsia"/>
                <w:color w:val="FF0000"/>
                <w:sz w:val="24"/>
                <w:szCs w:val="24"/>
              </w:rPr>
              <w:t>1.5</w:t>
            </w:r>
            <w:r>
              <w:rPr>
                <w:rFonts w:hint="eastAsia" w:cs="宋体"/>
                <w:color w:val="FF0000"/>
                <w:sz w:val="24"/>
                <w:szCs w:val="24"/>
              </w:rPr>
              <w:t>），（</w:t>
            </w:r>
            <w:r>
              <w:rPr>
                <w:rFonts w:hint="eastAsia"/>
                <w:color w:val="FF0000"/>
                <w:sz w:val="24"/>
                <w:szCs w:val="24"/>
              </w:rPr>
              <w:t>0.5</w:t>
            </w:r>
            <w:r>
              <w:rPr>
                <w:rFonts w:hint="eastAsia"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00"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8" w:type="dxa"/>
            <w:gridSpan w:val="2"/>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1929"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省级一等奖</w:t>
            </w:r>
          </w:p>
        </w:tc>
        <w:tc>
          <w:tcPr>
            <w:tcW w:w="3408"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r>
              <w:rPr>
                <w:rFonts w:hint="eastAsia" w:cs="宋体"/>
                <w:color w:val="FF0000"/>
                <w:sz w:val="24"/>
                <w:szCs w:val="24"/>
              </w:rPr>
              <w:t>（</w:t>
            </w:r>
            <w:r>
              <w:rPr>
                <w:rFonts w:hint="eastAsia"/>
                <w:color w:val="FF0000"/>
                <w:sz w:val="24"/>
                <w:szCs w:val="24"/>
              </w:rPr>
              <w:t>0.5</w:t>
            </w:r>
            <w:r>
              <w:rPr>
                <w:rFonts w:hint="eastAsia" w:cs="宋体"/>
                <w:color w:val="FF0000"/>
                <w:sz w:val="24"/>
                <w:szCs w:val="24"/>
              </w:rPr>
              <w:t>），（</w:t>
            </w:r>
            <w:r>
              <w:rPr>
                <w:color w:val="FF0000"/>
                <w:sz w:val="24"/>
                <w:szCs w:val="24"/>
              </w:rPr>
              <w:t>0.</w:t>
            </w:r>
            <w:r>
              <w:rPr>
                <w:rFonts w:hint="eastAsia"/>
                <w:color w:val="FF0000"/>
                <w:sz w:val="24"/>
                <w:szCs w:val="24"/>
              </w:rPr>
              <w:t>3</w:t>
            </w:r>
            <w:r>
              <w:rPr>
                <w:rFonts w:hint="eastAsia"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0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专著</w:t>
            </w:r>
          </w:p>
        </w:tc>
        <w:tc>
          <w:tcPr>
            <w:tcW w:w="7265" w:type="dxa"/>
            <w:gridSpan w:val="4"/>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0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著作</w:t>
            </w:r>
          </w:p>
        </w:tc>
        <w:tc>
          <w:tcPr>
            <w:tcW w:w="7265" w:type="dxa"/>
            <w:gridSpan w:val="4"/>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 xml:space="preserve">1  </w:t>
            </w:r>
            <w:r>
              <w:rPr>
                <w:rFonts w:hint="eastAsia" w:cs="宋体"/>
                <w:color w:val="000000" w:themeColor="text1"/>
                <w:sz w:val="24"/>
                <w:szCs w:val="24"/>
                <w14:textFill>
                  <w14:solidFill>
                    <w14:schemeClr w14:val="tx1"/>
                  </w14:solidFill>
                </w14:textFill>
              </w:rPr>
              <w:t>其他达到字数规定者计</w:t>
            </w:r>
            <w:r>
              <w:rPr>
                <w:color w:val="000000" w:themeColor="text1"/>
                <w:sz w:val="24"/>
                <w:szCs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366" w:type="dxa"/>
            <w:gridSpan w:val="2"/>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教材</w:t>
            </w:r>
          </w:p>
        </w:tc>
        <w:tc>
          <w:tcPr>
            <w:tcW w:w="2391" w:type="dxa"/>
            <w:gridSpan w:val="2"/>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国家级规划教材</w:t>
            </w:r>
          </w:p>
        </w:tc>
        <w:tc>
          <w:tcPr>
            <w:tcW w:w="3408" w:type="dxa"/>
            <w:vAlign w:val="center"/>
          </w:tcPr>
          <w:p>
            <w:pPr>
              <w:adjustRightInd w:val="0"/>
              <w:snapToGrid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主编：</w:t>
            </w:r>
            <w:r>
              <w:rPr>
                <w:color w:val="000000" w:themeColor="text1"/>
                <w:sz w:val="24"/>
                <w:szCs w:val="24"/>
                <w14:textFill>
                  <w14:solidFill>
                    <w14:schemeClr w14:val="tx1"/>
                  </w14:solidFill>
                </w14:textFill>
              </w:rPr>
              <w:t>8</w:t>
            </w:r>
            <w:r>
              <w:rPr>
                <w:rFonts w:hint="eastAsia"/>
                <w:color w:val="000000" w:themeColor="text1"/>
                <w:sz w:val="24"/>
                <w:szCs w:val="24"/>
                <w14:textFill>
                  <w14:solidFill>
                    <w14:schemeClr w14:val="tx1"/>
                  </w14:solidFill>
                </w14:textFill>
              </w:rPr>
              <w:t>分</w:t>
            </w:r>
          </w:p>
          <w:p>
            <w:pPr>
              <w:adjustRightInd w:val="0"/>
              <w:snapToGrid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副主编：6分</w:t>
            </w:r>
          </w:p>
          <w:p>
            <w:pPr>
              <w:adjustRightInd w:val="0"/>
              <w:snapToGrid w:val="0"/>
              <w:spacing w:line="360" w:lineRule="auto"/>
              <w:jc w:val="left"/>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其他：参编一章以上（含一章）</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gridSpan w:val="2"/>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发明专利</w:t>
            </w:r>
          </w:p>
        </w:tc>
        <w:tc>
          <w:tcPr>
            <w:tcW w:w="5799" w:type="dxa"/>
            <w:gridSpan w:val="3"/>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w:t>
            </w:r>
          </w:p>
        </w:tc>
      </w:tr>
    </w:tbl>
    <w:p>
      <w:pPr>
        <w:adjustRightInd w:val="0"/>
        <w:snapToGrid w:val="0"/>
        <w:spacing w:before="312" w:beforeLines="100"/>
        <w:rPr>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三、其他工作</w:t>
      </w:r>
      <w:r>
        <w:rPr>
          <w:b/>
          <w:bCs/>
          <w:color w:val="000000" w:themeColor="text1"/>
          <w:sz w:val="24"/>
          <w:szCs w:val="24"/>
          <w14:textFill>
            <w14:solidFill>
              <w14:schemeClr w14:val="tx1"/>
            </w14:solidFill>
          </w14:textFill>
        </w:rPr>
        <w:t>B</w:t>
      </w:r>
      <w:r>
        <w:rPr>
          <w:rFonts w:hint="eastAsia" w:cs="宋体"/>
          <w:b/>
          <w:bCs/>
          <w:color w:val="000000" w:themeColor="text1"/>
          <w:sz w:val="24"/>
          <w:szCs w:val="24"/>
          <w14:textFill>
            <w14:solidFill>
              <w14:schemeClr w14:val="tx1"/>
            </w14:solidFill>
          </w14:textFill>
        </w:rPr>
        <w:t>（</w:t>
      </w:r>
      <w:r>
        <w:rPr>
          <w:rFonts w:hint="eastAsia" w:cs="宋体"/>
          <w:color w:val="000000" w:themeColor="text1"/>
          <w:sz w:val="24"/>
          <w:szCs w:val="24"/>
          <w14:textFill>
            <w14:solidFill>
              <w14:schemeClr w14:val="tx1"/>
            </w14:solidFill>
          </w14:textFill>
        </w:rPr>
        <w:t>计分办法见附表</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p>
    <w:p>
      <w:pPr>
        <w:adjustRightInd w:val="0"/>
        <w:snapToGrid w:val="0"/>
        <w:spacing w:before="312" w:beforeLines="1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计算方法：对所有参评人员的总分进行归一化到</w:t>
      </w:r>
      <w:r>
        <w:rPr>
          <w:color w:val="000000" w:themeColor="text1"/>
          <w:sz w:val="24"/>
          <w:szCs w:val="24"/>
          <w14:textFill>
            <w14:solidFill>
              <w14:schemeClr w14:val="tx1"/>
            </w14:solidFill>
          </w14:textFill>
        </w:rPr>
        <w:t>10</w:t>
      </w:r>
      <w:r>
        <w:rPr>
          <w:rFonts w:hint="eastAsia" w:cs="宋体"/>
          <w:color w:val="000000" w:themeColor="text1"/>
          <w:sz w:val="24"/>
          <w:szCs w:val="24"/>
          <w14:textFill>
            <w14:solidFill>
              <w14:schemeClr w14:val="tx1"/>
            </w14:solidFill>
          </w14:textFill>
        </w:rPr>
        <w:t>分以内。</w:t>
      </w:r>
    </w:p>
    <w:p>
      <w:pPr>
        <w:adjustRightInd w:val="0"/>
        <w:snapToGrid w:val="0"/>
        <w:spacing w:before="312" w:beforeLines="100"/>
        <w:rPr>
          <w:rFonts w:cs="宋体"/>
          <w:color w:val="000000" w:themeColor="text1"/>
          <w:sz w:val="24"/>
          <w:szCs w:val="24"/>
          <w14:textFill>
            <w14:solidFill>
              <w14:schemeClr w14:val="tx1"/>
            </w14:solidFill>
          </w14:textFill>
        </w:rPr>
      </w:pPr>
    </w:p>
    <w:p>
      <w:pPr>
        <w:adjustRightInd w:val="0"/>
        <w:snapToGrid w:val="0"/>
        <w:spacing w:before="312" w:beforeLines="100"/>
        <w:rPr>
          <w:rFonts w:cs="宋体"/>
          <w:color w:val="000000" w:themeColor="text1"/>
          <w:sz w:val="24"/>
          <w:szCs w:val="24"/>
          <w14:textFill>
            <w14:solidFill>
              <w14:schemeClr w14:val="tx1"/>
            </w14:solidFill>
          </w14:textFill>
        </w:rPr>
      </w:pPr>
    </w:p>
    <w:p>
      <w:pPr>
        <w:adjustRightInd w:val="0"/>
        <w:snapToGrid w:val="0"/>
        <w:spacing w:before="312" w:beforeLines="100"/>
        <w:rPr>
          <w:rFonts w:cs="宋体"/>
          <w:color w:val="000000" w:themeColor="text1"/>
          <w:sz w:val="24"/>
          <w:szCs w:val="24"/>
          <w14:textFill>
            <w14:solidFill>
              <w14:schemeClr w14:val="tx1"/>
            </w14:solidFill>
          </w14:textFill>
        </w:rPr>
      </w:pPr>
    </w:p>
    <w:p>
      <w:pPr>
        <w:adjustRightInd w:val="0"/>
        <w:snapToGrid w:val="0"/>
        <w:spacing w:before="312" w:beforeLines="100"/>
        <w:rPr>
          <w:color w:val="000000" w:themeColor="text1"/>
          <w:sz w:val="24"/>
          <w:szCs w:val="24"/>
          <w14:textFill>
            <w14:solidFill>
              <w14:schemeClr w14:val="tx1"/>
            </w14:solidFill>
          </w14:textFill>
        </w:rPr>
      </w:pPr>
    </w:p>
    <w:p>
      <w:pPr>
        <w:adjustRightInd w:val="0"/>
        <w:snapToGrid w:val="0"/>
        <w:spacing w:line="360" w:lineRule="auto"/>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附表</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w:t>
      </w:r>
    </w:p>
    <w:tbl>
      <w:tblPr>
        <w:tblStyle w:val="4"/>
        <w:tblW w:w="8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556"/>
        <w:gridCol w:w="2863"/>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实验室建设</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工程中心</w:t>
            </w:r>
          </w:p>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教学示范中心</w:t>
            </w: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校（院）级</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学科建设</w:t>
            </w:r>
          </w:p>
        </w:tc>
        <w:tc>
          <w:tcPr>
            <w:tcW w:w="2863"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国家重点学科</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省重点学科</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校重点学科</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特色专业</w:t>
            </w: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校级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优秀教学团队</w:t>
            </w: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校级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科研创新团队</w:t>
            </w: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校级</w:t>
            </w:r>
          </w:p>
        </w:tc>
        <w:tc>
          <w:tcPr>
            <w:tcW w:w="1970"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教学名师</w:t>
            </w:r>
          </w:p>
        </w:tc>
        <w:tc>
          <w:tcPr>
            <w:tcW w:w="2863"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省级及以上</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校级</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优秀班主任</w:t>
            </w: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国家级</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省级</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校</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restart"/>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答辩环节</w:t>
            </w:r>
          </w:p>
        </w:tc>
        <w:tc>
          <w:tcPr>
            <w:tcW w:w="2863"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讲课前三名</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7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Merge w:val="continue"/>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863"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省答辩成绩优秀</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76" w:type="dxa"/>
            <w:vAlign w:val="center"/>
          </w:tcPr>
          <w:p>
            <w:pPr>
              <w:adjustRightInd w:val="0"/>
              <w:snapToGrid w:val="0"/>
              <w:spacing w:line="360" w:lineRule="auto"/>
              <w:jc w:val="center"/>
              <w:rPr>
                <w:color w:val="000000" w:themeColor="text1"/>
                <w:sz w:val="24"/>
                <w:szCs w:val="24"/>
                <w14:textFill>
                  <w14:solidFill>
                    <w14:schemeClr w14:val="tx1"/>
                  </w14:solidFill>
                </w14:textFill>
              </w:rPr>
            </w:pPr>
          </w:p>
        </w:tc>
        <w:tc>
          <w:tcPr>
            <w:tcW w:w="2556"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学科管理部主任、副主任、实验室主任</w:t>
            </w:r>
          </w:p>
        </w:tc>
        <w:tc>
          <w:tcPr>
            <w:tcW w:w="2863" w:type="dxa"/>
            <w:vAlign w:val="center"/>
          </w:tcPr>
          <w:p>
            <w:pPr>
              <w:adjustRightInd w:val="0"/>
              <w:snapToGrid w:val="0"/>
              <w:spacing w:line="360" w:lineRule="auto"/>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考核结果年平均值</w:t>
            </w:r>
          </w:p>
        </w:tc>
        <w:tc>
          <w:tcPr>
            <w:tcW w:w="1970" w:type="dxa"/>
            <w:vAlign w:val="center"/>
          </w:tcPr>
          <w:p>
            <w:pPr>
              <w:adjustRightInd w:val="0"/>
              <w:snapToGrid w:val="0"/>
              <w:spacing w:line="360" w:lineRule="auto"/>
              <w:jc w:val="center"/>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p>
        </w:tc>
      </w:tr>
    </w:tbl>
    <w:p>
      <w:pPr>
        <w:adjustRightInd w:val="0"/>
        <w:snapToGrid w:val="0"/>
        <w:spacing w:before="312" w:beforeLines="100" w:line="360" w:lineRule="auto"/>
        <w:rPr>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四、计分方法：</w:t>
      </w:r>
    </w:p>
    <w:p>
      <w:pPr>
        <w:adjustRightInd w:val="0"/>
        <w:snapToGrid w:val="0"/>
        <w:spacing w:line="360" w:lineRule="auto"/>
        <w:ind w:left="2"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．所有参评教师在第一阶段（成果排队阶段）总分</w:t>
      </w:r>
      <w:r>
        <w:rPr>
          <w:color w:val="000000" w:themeColor="text1"/>
          <w:sz w:val="24"/>
          <w:szCs w:val="24"/>
          <w14:textFill>
            <w14:solidFill>
              <w14:schemeClr w14:val="tx1"/>
            </w14:solidFill>
          </w14:textFill>
        </w:rPr>
        <w:t>M=A+B</w:t>
      </w:r>
      <w:r>
        <w:rPr>
          <w:rFonts w:hint="eastAsia" w:cs="宋体"/>
          <w:color w:val="000000" w:themeColor="text1"/>
          <w:sz w:val="24"/>
          <w:szCs w:val="24"/>
          <w14:textFill>
            <w14:solidFill>
              <w14:schemeClr w14:val="tx1"/>
            </w14:solidFill>
          </w14:textFill>
        </w:rPr>
        <w:t>。其中，</w:t>
      </w:r>
      <w:r>
        <w:rPr>
          <w:color w:val="000000" w:themeColor="text1"/>
          <w:sz w:val="24"/>
          <w:szCs w:val="24"/>
          <w14:textFill>
            <w14:solidFill>
              <w14:schemeClr w14:val="tx1"/>
            </w14:solidFill>
          </w14:textFill>
        </w:rPr>
        <w:t>A</w:t>
      </w:r>
      <w:r>
        <w:rPr>
          <w:rFonts w:hint="eastAsia" w:cs="宋体"/>
          <w:color w:val="000000" w:themeColor="text1"/>
          <w:sz w:val="24"/>
          <w:szCs w:val="24"/>
          <w14:textFill>
            <w14:solidFill>
              <w14:schemeClr w14:val="tx1"/>
            </w14:solidFill>
          </w14:textFill>
        </w:rPr>
        <w:t>为第二部分统计总分，</w:t>
      </w:r>
      <w:r>
        <w:rPr>
          <w:color w:val="000000" w:themeColor="text1"/>
          <w:sz w:val="24"/>
          <w:szCs w:val="24"/>
          <w14:textFill>
            <w14:solidFill>
              <w14:schemeClr w14:val="tx1"/>
            </w14:solidFill>
          </w14:textFill>
        </w:rPr>
        <w:t>B</w:t>
      </w:r>
      <w:r>
        <w:rPr>
          <w:rFonts w:hint="eastAsia" w:cs="宋体"/>
          <w:color w:val="000000" w:themeColor="text1"/>
          <w:sz w:val="24"/>
          <w:szCs w:val="24"/>
          <w14:textFill>
            <w14:solidFill>
              <w14:schemeClr w14:val="tx1"/>
            </w14:solidFill>
          </w14:textFill>
        </w:rPr>
        <w:t>为第三部分统计总分。</w:t>
      </w:r>
    </w:p>
    <w:p>
      <w:pPr>
        <w:adjustRightInd w:val="0"/>
        <w:snapToGrid w:val="0"/>
        <w:spacing w:line="360" w:lineRule="auto"/>
        <w:ind w:left="2"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．将所有同一评审系列（副教授或教授）教师总分</w:t>
      </w:r>
      <w:r>
        <w:rPr>
          <w:color w:val="000000" w:themeColor="text1"/>
          <w:sz w:val="24"/>
          <w:szCs w:val="24"/>
          <w14:textFill>
            <w14:solidFill>
              <w14:schemeClr w14:val="tx1"/>
            </w14:solidFill>
          </w14:textFill>
        </w:rPr>
        <w:t>M</w:t>
      </w:r>
      <w:r>
        <w:rPr>
          <w:rFonts w:hint="eastAsia" w:cs="宋体"/>
          <w:color w:val="000000" w:themeColor="text1"/>
          <w:sz w:val="24"/>
          <w:szCs w:val="24"/>
          <w14:textFill>
            <w14:solidFill>
              <w14:schemeClr w14:val="tx1"/>
            </w14:solidFill>
          </w14:textFill>
        </w:rPr>
        <w:t>由高到低进行排名，获得相应的名次值</w:t>
      </w:r>
      <w:r>
        <w:rPr>
          <w:color w:val="000000" w:themeColor="text1"/>
          <w:sz w:val="24"/>
          <w:szCs w:val="24"/>
          <w14:textFill>
            <w14:solidFill>
              <w14:schemeClr w14:val="tx1"/>
            </w14:solidFill>
          </w14:textFill>
        </w:rPr>
        <w:t>C1</w:t>
      </w:r>
      <w:r>
        <w:rPr>
          <w:rFonts w:hint="eastAsia" w:cs="宋体"/>
          <w:color w:val="000000" w:themeColor="text1"/>
          <w:sz w:val="24"/>
          <w:szCs w:val="24"/>
          <w14:textFill>
            <w14:solidFill>
              <w14:schemeClr w14:val="tx1"/>
            </w14:solidFill>
          </w14:textFill>
        </w:rPr>
        <w:t>，并进入专家评审环节（第二阶段）。比如教师甲总分排名为第一，则相应名次值为</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，教师乙总分排名为第三，则名次值为</w:t>
      </w:r>
      <w:r>
        <w:rPr>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w:t>
      </w:r>
    </w:p>
    <w:p>
      <w:pPr>
        <w:pStyle w:val="9"/>
        <w:adjustRightInd w:val="0"/>
        <w:snapToGrid w:val="0"/>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学院专家评审过程中，每位评委根据报送材料及答辩情况等综合评价后为参评教师依次打出名次，将所有评委为每名教师打出的名次去掉一个最高值和一个最低值后相加，再由低到高进行排队，即获得每名教师在该环节的名次值</w:t>
      </w:r>
      <w:r>
        <w:rPr>
          <w:color w:val="000000" w:themeColor="text1"/>
          <w:sz w:val="24"/>
          <w:szCs w:val="24"/>
          <w14:textFill>
            <w14:solidFill>
              <w14:schemeClr w14:val="tx1"/>
            </w14:solidFill>
          </w14:textFill>
        </w:rPr>
        <w:t>C2</w:t>
      </w:r>
      <w:r>
        <w:rPr>
          <w:rFonts w:hint="eastAsia" w:cs="宋体"/>
          <w:color w:val="000000" w:themeColor="text1"/>
          <w:sz w:val="24"/>
          <w:szCs w:val="24"/>
          <w14:textFill>
            <w14:solidFill>
              <w14:schemeClr w14:val="tx1"/>
            </w14:solidFill>
          </w14:textFill>
        </w:rPr>
        <w:t>。比如教师甲在该环节所得名次数之和最低，则相应排名为第一，获得该环节名次值</w:t>
      </w:r>
      <w:r>
        <w:rPr>
          <w:color w:val="000000" w:themeColor="text1"/>
          <w:sz w:val="24"/>
          <w:szCs w:val="24"/>
          <w14:textFill>
            <w14:solidFill>
              <w14:schemeClr w14:val="tx1"/>
            </w14:solidFill>
          </w14:textFill>
        </w:rPr>
        <w:t>C2</w:t>
      </w:r>
      <w:r>
        <w:rPr>
          <w:rFonts w:hint="eastAsia" w:cs="宋体"/>
          <w:color w:val="000000" w:themeColor="text1"/>
          <w:sz w:val="24"/>
          <w:szCs w:val="24"/>
          <w14:textFill>
            <w14:solidFill>
              <w14:schemeClr w14:val="tx1"/>
            </w14:solidFill>
          </w14:textFill>
        </w:rPr>
        <w:t>为</w:t>
      </w:r>
      <w:r>
        <w:rPr>
          <w:color w:val="000000" w:themeColor="text1"/>
          <w:sz w:val="24"/>
          <w:szCs w:val="24"/>
          <w14:textFill>
            <w14:solidFill>
              <w14:schemeClr w14:val="tx1"/>
            </w14:solidFill>
          </w14:textFill>
        </w:rPr>
        <w:t>1</w:t>
      </w:r>
      <w:r>
        <w:rPr>
          <w:rFonts w:hint="eastAsia" w:cs="宋体"/>
          <w:color w:val="000000" w:themeColor="text1"/>
          <w:sz w:val="24"/>
          <w:szCs w:val="24"/>
          <w14:textFill>
            <w14:solidFill>
              <w14:schemeClr w14:val="tx1"/>
            </w14:solidFill>
          </w14:textFill>
        </w:rPr>
        <w:t>。</w:t>
      </w:r>
    </w:p>
    <w:p>
      <w:pPr>
        <w:pStyle w:val="9"/>
        <w:adjustRightInd w:val="0"/>
        <w:snapToGrid w:val="0"/>
        <w:spacing w:line="360" w:lineRule="auto"/>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．首先将</w:t>
      </w:r>
      <w:r>
        <w:rPr>
          <w:color w:val="000000" w:themeColor="text1"/>
          <w:sz w:val="24"/>
          <w:szCs w:val="24"/>
          <w14:textFill>
            <w14:solidFill>
              <w14:schemeClr w14:val="tx1"/>
            </w14:solidFill>
          </w14:textFill>
        </w:rPr>
        <w:t>C1</w:t>
      </w:r>
      <w:r>
        <w:rPr>
          <w:rFonts w:hint="eastAsia" w:cs="宋体"/>
          <w:color w:val="000000" w:themeColor="text1"/>
          <w:sz w:val="24"/>
          <w:szCs w:val="24"/>
          <w14:textFill>
            <w14:solidFill>
              <w14:schemeClr w14:val="tx1"/>
            </w14:solidFill>
          </w14:textFill>
        </w:rPr>
        <w:t>换算为（参评总人数－</w:t>
      </w:r>
      <w:r>
        <w:rPr>
          <w:color w:val="000000" w:themeColor="text1"/>
          <w:sz w:val="24"/>
          <w:szCs w:val="24"/>
          <w14:textFill>
            <w14:solidFill>
              <w14:schemeClr w14:val="tx1"/>
            </w14:solidFill>
          </w14:textFill>
        </w:rPr>
        <w:t>C1+1</w:t>
      </w:r>
      <w:r>
        <w:rPr>
          <w:rFonts w:hint="eastAsia"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C2</w:t>
      </w:r>
      <w:r>
        <w:rPr>
          <w:rFonts w:hint="eastAsia" w:cs="宋体"/>
          <w:color w:val="000000" w:themeColor="text1"/>
          <w:sz w:val="24"/>
          <w:szCs w:val="24"/>
          <w14:textFill>
            <w14:solidFill>
              <w14:schemeClr w14:val="tx1"/>
            </w14:solidFill>
          </w14:textFill>
        </w:rPr>
        <w:t>换算为（参评总人数－</w:t>
      </w:r>
      <w:r>
        <w:rPr>
          <w:color w:val="000000" w:themeColor="text1"/>
          <w:sz w:val="24"/>
          <w:szCs w:val="24"/>
          <w14:textFill>
            <w14:solidFill>
              <w14:schemeClr w14:val="tx1"/>
            </w14:solidFill>
          </w14:textFill>
        </w:rPr>
        <w:t>C2+1</w:t>
      </w:r>
      <w:r>
        <w:rPr>
          <w:rFonts w:hint="eastAsia" w:cs="宋体"/>
          <w:color w:val="000000" w:themeColor="text1"/>
          <w:sz w:val="24"/>
          <w:szCs w:val="24"/>
          <w14:textFill>
            <w14:solidFill>
              <w14:schemeClr w14:val="tx1"/>
            </w14:solidFill>
          </w14:textFill>
        </w:rPr>
        <w:t>），然后将每名参评教师的</w:t>
      </w:r>
      <w:r>
        <w:rPr>
          <w:color w:val="000000" w:themeColor="text1"/>
          <w:sz w:val="24"/>
          <w:szCs w:val="24"/>
          <w14:textFill>
            <w14:solidFill>
              <w14:schemeClr w14:val="tx1"/>
            </w14:solidFill>
          </w14:textFill>
        </w:rPr>
        <w:t>C1*0.8+C2*0.2</w:t>
      </w:r>
      <w:r>
        <w:rPr>
          <w:rFonts w:hint="eastAsia" w:cs="宋体"/>
          <w:color w:val="000000" w:themeColor="text1"/>
          <w:sz w:val="24"/>
          <w:szCs w:val="24"/>
          <w14:textFill>
            <w14:solidFill>
              <w14:schemeClr w14:val="tx1"/>
            </w14:solidFill>
          </w14:textFill>
        </w:rPr>
        <w:t>得分相加后由高到低排序，获得该名教师学院最终排名顺序。如教师甲</w:t>
      </w:r>
      <w:r>
        <w:rPr>
          <w:color w:val="000000" w:themeColor="text1"/>
          <w:sz w:val="24"/>
          <w:szCs w:val="24"/>
          <w14:textFill>
            <w14:solidFill>
              <w14:schemeClr w14:val="tx1"/>
            </w14:solidFill>
          </w14:textFill>
        </w:rPr>
        <w:t>C1*0.8+C2*0.2</w:t>
      </w:r>
      <w:r>
        <w:rPr>
          <w:rFonts w:hint="eastAsia" w:cs="宋体"/>
          <w:color w:val="000000" w:themeColor="text1"/>
          <w:sz w:val="24"/>
          <w:szCs w:val="24"/>
          <w14:textFill>
            <w14:solidFill>
              <w14:schemeClr w14:val="tx1"/>
            </w14:solidFill>
          </w14:textFill>
        </w:rPr>
        <w:t>得分最高，则教师甲学院最终推荐排名为第一。</w:t>
      </w:r>
    </w:p>
    <w:p>
      <w:pPr>
        <w:adjustRightInd w:val="0"/>
        <w:snapToGrid w:val="0"/>
        <w:spacing w:line="360" w:lineRule="auto"/>
        <w:rPr>
          <w:b/>
          <w:bCs/>
          <w:color w:val="000000" w:themeColor="text1"/>
          <w:sz w:val="24"/>
          <w:szCs w:val="24"/>
          <w14:textFill>
            <w14:solidFill>
              <w14:schemeClr w14:val="tx1"/>
            </w14:solidFill>
          </w14:textFill>
        </w:rPr>
      </w:pPr>
    </w:p>
    <w:p>
      <w:pPr>
        <w:adjustRightInd w:val="0"/>
        <w:snapToGrid w:val="0"/>
        <w:spacing w:line="360" w:lineRule="auto"/>
        <w:rPr>
          <w:b/>
          <w:bCs/>
          <w:color w:val="000000" w:themeColor="text1"/>
          <w:sz w:val="24"/>
          <w:szCs w:val="24"/>
          <w14:textFill>
            <w14:solidFill>
              <w14:schemeClr w14:val="tx1"/>
            </w14:solidFill>
          </w14:textFill>
        </w:rPr>
      </w:pPr>
      <w:r>
        <w:rPr>
          <w:rFonts w:hint="eastAsia" w:cs="宋体"/>
          <w:b/>
          <w:bCs/>
          <w:color w:val="000000" w:themeColor="text1"/>
          <w:sz w:val="24"/>
          <w:szCs w:val="24"/>
          <w14:textFill>
            <w14:solidFill>
              <w14:schemeClr w14:val="tx1"/>
            </w14:solidFill>
          </w14:textFill>
        </w:rPr>
        <w:t>注：</w:t>
      </w:r>
    </w:p>
    <w:p>
      <w:pPr>
        <w:adjustRightInd w:val="0"/>
        <w:snapToGrid w:val="0"/>
        <w:spacing w:line="360" w:lineRule="auto"/>
        <w:ind w:firstLine="480" w:firstLineChars="200"/>
        <w:rPr>
          <w:rFonts w:hint="eastAsia"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（1）参评人员的成果由相关部门审查认定后方可计分。</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）同一条例内多个分数是对应于不同排名的分数，如：省部级科研项目排名第一计</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分，第二计</w:t>
      </w:r>
      <w:r>
        <w:rPr>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分，第三计</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分。</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）著作和所有括号内的分数仅对参评副教授的人计算，参评教授的不计该值。</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4</w:t>
      </w:r>
      <w:r>
        <w:rPr>
          <w:rFonts w:hint="eastAsia" w:cs="宋体"/>
          <w:color w:val="000000" w:themeColor="text1"/>
          <w:sz w:val="24"/>
          <w:szCs w:val="24"/>
          <w14:textFill>
            <w14:solidFill>
              <w14:schemeClr w14:val="tx1"/>
            </w14:solidFill>
          </w14:textFill>
        </w:rPr>
        <w:t>）同一成果只算最高级别的分数项。集体成果得分由申报材料撰写的负责人给出排名，并由学院公示并备案。</w:t>
      </w:r>
    </w:p>
    <w:p>
      <w:pPr>
        <w:adjustRightInd w:val="0"/>
        <w:snapToGrid w:val="0"/>
        <w:spacing w:line="360" w:lineRule="auto"/>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5</w:t>
      </w:r>
      <w:r>
        <w:rPr>
          <w:rFonts w:hint="eastAsia" w:cs="宋体"/>
          <w:color w:val="000000" w:themeColor="text1"/>
          <w:sz w:val="24"/>
          <w:szCs w:val="24"/>
          <w14:textFill>
            <w14:solidFill>
              <w14:schemeClr w14:val="tx1"/>
            </w14:solidFill>
          </w14:textFill>
        </w:rPr>
        <w:t>）五大类竞赛指导教师达到校评职称条件的获奖次数后方可计分一次。</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）每参评一届加</w:t>
      </w:r>
      <w:r>
        <w:rPr>
          <w:color w:val="000000" w:themeColor="text1"/>
          <w:sz w:val="24"/>
          <w:szCs w:val="24"/>
          <w14:textFill>
            <w14:solidFill>
              <w14:schemeClr w14:val="tx1"/>
            </w14:solidFill>
          </w14:textFill>
        </w:rPr>
        <w:t>2</w:t>
      </w:r>
      <w:r>
        <w:rPr>
          <w:rFonts w:hint="eastAsia" w:cs="宋体"/>
          <w:color w:val="000000" w:themeColor="text1"/>
          <w:sz w:val="24"/>
          <w:szCs w:val="24"/>
          <w14:textFill>
            <w14:solidFill>
              <w14:schemeClr w14:val="tx1"/>
            </w14:solidFill>
          </w14:textFill>
        </w:rPr>
        <w:t>分，</w:t>
      </w:r>
      <w:r>
        <w:rPr>
          <w:color w:val="000000" w:themeColor="text1"/>
          <w:sz w:val="24"/>
          <w:szCs w:val="24"/>
          <w14:textFill>
            <w14:solidFill>
              <w14:schemeClr w14:val="tx1"/>
            </w14:solidFill>
          </w14:textFill>
        </w:rPr>
        <w:t>6</w:t>
      </w:r>
      <w:r>
        <w:rPr>
          <w:rFonts w:hint="eastAsia" w:cs="宋体"/>
          <w:color w:val="000000" w:themeColor="text1"/>
          <w:sz w:val="24"/>
          <w:szCs w:val="24"/>
          <w14:textFill>
            <w14:solidFill>
              <w14:schemeClr w14:val="tx1"/>
            </w14:solidFill>
          </w14:textFill>
        </w:rPr>
        <w:t>分封顶。</w:t>
      </w:r>
    </w:p>
    <w:p>
      <w:pPr>
        <w:adjustRightInd w:val="0"/>
        <w:snapToGrid w:val="0"/>
        <w:spacing w:line="360" w:lineRule="auto"/>
        <w:ind w:firstLine="480" w:firstLineChars="200"/>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7</w:t>
      </w:r>
      <w:r>
        <w:rPr>
          <w:rFonts w:hint="eastAsia" w:cs="宋体"/>
          <w:color w:val="000000" w:themeColor="text1"/>
          <w:sz w:val="24"/>
          <w:szCs w:val="24"/>
          <w14:textFill>
            <w14:solidFill>
              <w14:schemeClr w14:val="tx1"/>
            </w14:solidFill>
          </w14:textFill>
        </w:rPr>
        <w:t>）所有教师在报名参评后，如中途无故放弃评审的，将取消后续两年的参评资格。</w:t>
      </w:r>
    </w:p>
    <w:p>
      <w:pPr>
        <w:adjustRightInd w:val="0"/>
        <w:snapToGrid w:val="0"/>
        <w:spacing w:line="360" w:lineRule="auto"/>
        <w:ind w:firstLine="480" w:firstLineChars="200"/>
        <w:rPr>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（8）专家的打分与评审一律采用实名制。</w:t>
      </w:r>
    </w:p>
    <w:p>
      <w:pPr>
        <w:adjustRightInd w:val="0"/>
        <w:snapToGrid w:val="0"/>
        <w:spacing w:line="360" w:lineRule="auto"/>
        <w:rPr>
          <w:b/>
          <w:bCs/>
          <w:color w:val="000000" w:themeColor="text1"/>
          <w:sz w:val="24"/>
          <w:szCs w:val="24"/>
          <w14:textFill>
            <w14:solidFill>
              <w14:schemeClr w14:val="tx1"/>
            </w14:solidFill>
          </w14:textFill>
        </w:rPr>
      </w:pPr>
      <w:bookmarkStart w:id="0" w:name="OLE_LINK1"/>
      <w:bookmarkStart w:id="1" w:name="OLE_LINK2"/>
      <w:r>
        <w:rPr>
          <w:rFonts w:hint="eastAsia" w:cs="宋体"/>
          <w:b/>
          <w:bCs/>
          <w:color w:val="000000" w:themeColor="text1"/>
          <w:sz w:val="24"/>
          <w:szCs w:val="24"/>
          <w14:textFill>
            <w14:solidFill>
              <w14:schemeClr w14:val="tx1"/>
            </w14:solidFill>
          </w14:textFill>
        </w:rPr>
        <w:t>五、本《细则》解释权在院务会</w:t>
      </w:r>
      <w:r>
        <w:rPr>
          <w:b/>
          <w:bCs/>
          <w:color w:val="000000" w:themeColor="text1"/>
          <w:sz w:val="24"/>
          <w:szCs w:val="24"/>
          <w14:textFill>
            <w14:solidFill>
              <w14:schemeClr w14:val="tx1"/>
            </w14:solidFill>
          </w14:textFill>
        </w:rPr>
        <w:t>,</w:t>
      </w:r>
      <w:r>
        <w:rPr>
          <w:rFonts w:hint="eastAsia" w:cs="宋体"/>
          <w:b/>
          <w:bCs/>
          <w:color w:val="000000" w:themeColor="text1"/>
          <w:sz w:val="24"/>
          <w:szCs w:val="24"/>
          <w14:textFill>
            <w14:solidFill>
              <w14:schemeClr w14:val="tx1"/>
            </w14:solidFill>
          </w14:textFill>
        </w:rPr>
        <w:t>自颁布之日起实施。</w:t>
      </w:r>
      <w:bookmarkEnd w:id="0"/>
      <w:bookmarkEnd w:id="1"/>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5CB5"/>
    <w:multiLevelType w:val="multilevel"/>
    <w:tmpl w:val="60915CB5"/>
    <w:lvl w:ilvl="0" w:tentative="0">
      <w:start w:val="1"/>
      <w:numFmt w:val="bullet"/>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680"/>
        </w:tabs>
        <w:ind w:left="1680" w:hanging="420"/>
      </w:pPr>
      <w:rPr>
        <w:rFonts w:hint="default" w:ascii="Wingdings" w:hAnsi="Wingdings"/>
      </w:rPr>
    </w:lvl>
    <w:lvl w:ilvl="2" w:tentative="0">
      <w:start w:val="1"/>
      <w:numFmt w:val="bullet"/>
      <w:lvlText w:val=""/>
      <w:lvlJc w:val="left"/>
      <w:pPr>
        <w:tabs>
          <w:tab w:val="left" w:pos="2100"/>
        </w:tabs>
        <w:ind w:left="2100" w:hanging="420"/>
      </w:pPr>
      <w:rPr>
        <w:rFonts w:hint="default" w:ascii="Wingdings" w:hAnsi="Wingdings"/>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bullet"/>
      <w:lvlText w:val=""/>
      <w:lvlJc w:val="left"/>
      <w:pPr>
        <w:tabs>
          <w:tab w:val="left" w:pos="2940"/>
        </w:tabs>
        <w:ind w:left="2940" w:hanging="420"/>
      </w:pPr>
      <w:rPr>
        <w:rFonts w:hint="default" w:ascii="Wingdings" w:hAnsi="Wingdings"/>
      </w:rPr>
    </w:lvl>
    <w:lvl w:ilvl="5" w:tentative="0">
      <w:start w:val="1"/>
      <w:numFmt w:val="bullet"/>
      <w:lvlText w:val=""/>
      <w:lvlJc w:val="left"/>
      <w:pPr>
        <w:tabs>
          <w:tab w:val="left" w:pos="3360"/>
        </w:tabs>
        <w:ind w:left="3360" w:hanging="420"/>
      </w:pPr>
      <w:rPr>
        <w:rFonts w:hint="default" w:ascii="Wingdings" w:hAnsi="Wingdings"/>
      </w:rPr>
    </w:lvl>
    <w:lvl w:ilvl="6" w:tentative="0">
      <w:start w:val="1"/>
      <w:numFmt w:val="bullet"/>
      <w:lvlText w:val=""/>
      <w:lvlJc w:val="left"/>
      <w:pPr>
        <w:tabs>
          <w:tab w:val="left" w:pos="3780"/>
        </w:tabs>
        <w:ind w:left="3780" w:hanging="420"/>
      </w:pPr>
      <w:rPr>
        <w:rFonts w:hint="default" w:ascii="Wingdings" w:hAnsi="Wingdings"/>
      </w:rPr>
    </w:lvl>
    <w:lvl w:ilvl="7" w:tentative="0">
      <w:start w:val="1"/>
      <w:numFmt w:val="bullet"/>
      <w:lvlText w:val=""/>
      <w:lvlJc w:val="left"/>
      <w:pPr>
        <w:tabs>
          <w:tab w:val="left" w:pos="4200"/>
        </w:tabs>
        <w:ind w:left="4200" w:hanging="420"/>
      </w:pPr>
      <w:rPr>
        <w:rFonts w:hint="default" w:ascii="Wingdings" w:hAnsi="Wingdings"/>
      </w:rPr>
    </w:lvl>
    <w:lvl w:ilvl="8" w:tentative="0">
      <w:start w:val="1"/>
      <w:numFmt w:val="bullet"/>
      <w:lvlText w:val=""/>
      <w:lvlJc w:val="left"/>
      <w:pPr>
        <w:tabs>
          <w:tab w:val="left" w:pos="4620"/>
        </w:tabs>
        <w:ind w:left="46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09"/>
    <w:rsid w:val="00015A93"/>
    <w:rsid w:val="00053C48"/>
    <w:rsid w:val="00061A34"/>
    <w:rsid w:val="00093B9F"/>
    <w:rsid w:val="000A6913"/>
    <w:rsid w:val="000E4E39"/>
    <w:rsid w:val="00120BB6"/>
    <w:rsid w:val="00141A2A"/>
    <w:rsid w:val="001710E0"/>
    <w:rsid w:val="00171CCB"/>
    <w:rsid w:val="001D5BA8"/>
    <w:rsid w:val="002003C4"/>
    <w:rsid w:val="0021248F"/>
    <w:rsid w:val="00215C64"/>
    <w:rsid w:val="002242F4"/>
    <w:rsid w:val="00242F52"/>
    <w:rsid w:val="002440C8"/>
    <w:rsid w:val="00245B43"/>
    <w:rsid w:val="002460CE"/>
    <w:rsid w:val="00252A63"/>
    <w:rsid w:val="002746E3"/>
    <w:rsid w:val="002B3ECB"/>
    <w:rsid w:val="002C1415"/>
    <w:rsid w:val="002E2E3B"/>
    <w:rsid w:val="0030004A"/>
    <w:rsid w:val="00356F65"/>
    <w:rsid w:val="00362F6A"/>
    <w:rsid w:val="003725BB"/>
    <w:rsid w:val="003854A0"/>
    <w:rsid w:val="003C0774"/>
    <w:rsid w:val="003D2F94"/>
    <w:rsid w:val="00402C1B"/>
    <w:rsid w:val="00412709"/>
    <w:rsid w:val="00421062"/>
    <w:rsid w:val="00422B1C"/>
    <w:rsid w:val="004250C6"/>
    <w:rsid w:val="00506850"/>
    <w:rsid w:val="00511A6F"/>
    <w:rsid w:val="00512010"/>
    <w:rsid w:val="00535EC7"/>
    <w:rsid w:val="00546067"/>
    <w:rsid w:val="00546346"/>
    <w:rsid w:val="005551F2"/>
    <w:rsid w:val="0059203F"/>
    <w:rsid w:val="00597B3B"/>
    <w:rsid w:val="005A5CDA"/>
    <w:rsid w:val="005C7DBD"/>
    <w:rsid w:val="005D5D36"/>
    <w:rsid w:val="005F3EED"/>
    <w:rsid w:val="00611EB3"/>
    <w:rsid w:val="00666BE4"/>
    <w:rsid w:val="00695392"/>
    <w:rsid w:val="006B21E4"/>
    <w:rsid w:val="006B37C8"/>
    <w:rsid w:val="006C7E41"/>
    <w:rsid w:val="006D09F6"/>
    <w:rsid w:val="006F38BC"/>
    <w:rsid w:val="00704689"/>
    <w:rsid w:val="00712435"/>
    <w:rsid w:val="00725217"/>
    <w:rsid w:val="00741E39"/>
    <w:rsid w:val="00744111"/>
    <w:rsid w:val="00744FA5"/>
    <w:rsid w:val="0074691E"/>
    <w:rsid w:val="00764519"/>
    <w:rsid w:val="007747EF"/>
    <w:rsid w:val="00796B91"/>
    <w:rsid w:val="007B05E0"/>
    <w:rsid w:val="007B6EEC"/>
    <w:rsid w:val="007C4555"/>
    <w:rsid w:val="007E260D"/>
    <w:rsid w:val="007F6307"/>
    <w:rsid w:val="00800BFB"/>
    <w:rsid w:val="00815D87"/>
    <w:rsid w:val="008300D0"/>
    <w:rsid w:val="00831ED6"/>
    <w:rsid w:val="00836B4D"/>
    <w:rsid w:val="00854040"/>
    <w:rsid w:val="008806FC"/>
    <w:rsid w:val="008A49F3"/>
    <w:rsid w:val="008E7FE4"/>
    <w:rsid w:val="008F1206"/>
    <w:rsid w:val="00954E8F"/>
    <w:rsid w:val="009C7734"/>
    <w:rsid w:val="009D6860"/>
    <w:rsid w:val="009F487B"/>
    <w:rsid w:val="00A26515"/>
    <w:rsid w:val="00A523B3"/>
    <w:rsid w:val="00AC0C24"/>
    <w:rsid w:val="00AC42A2"/>
    <w:rsid w:val="00AD4F0D"/>
    <w:rsid w:val="00AF1D07"/>
    <w:rsid w:val="00B07162"/>
    <w:rsid w:val="00B10C8A"/>
    <w:rsid w:val="00B414AC"/>
    <w:rsid w:val="00B8488E"/>
    <w:rsid w:val="00BB563A"/>
    <w:rsid w:val="00C221C3"/>
    <w:rsid w:val="00C31631"/>
    <w:rsid w:val="00C36A09"/>
    <w:rsid w:val="00C646F4"/>
    <w:rsid w:val="00C73204"/>
    <w:rsid w:val="00C83A7E"/>
    <w:rsid w:val="00CC3755"/>
    <w:rsid w:val="00CC4A2A"/>
    <w:rsid w:val="00CC52B4"/>
    <w:rsid w:val="00D07622"/>
    <w:rsid w:val="00D16259"/>
    <w:rsid w:val="00D40F20"/>
    <w:rsid w:val="00D476DC"/>
    <w:rsid w:val="00D556A2"/>
    <w:rsid w:val="00D71663"/>
    <w:rsid w:val="00D7797E"/>
    <w:rsid w:val="00D87D11"/>
    <w:rsid w:val="00DA0863"/>
    <w:rsid w:val="00DD6B49"/>
    <w:rsid w:val="00DE3E3D"/>
    <w:rsid w:val="00DF779A"/>
    <w:rsid w:val="00E21EC1"/>
    <w:rsid w:val="00E35A5B"/>
    <w:rsid w:val="00E54BAF"/>
    <w:rsid w:val="00E64B02"/>
    <w:rsid w:val="00E65D0B"/>
    <w:rsid w:val="00ED7B68"/>
    <w:rsid w:val="00EE4915"/>
    <w:rsid w:val="00EE6FF7"/>
    <w:rsid w:val="00EF1626"/>
    <w:rsid w:val="00F354FE"/>
    <w:rsid w:val="00F51041"/>
    <w:rsid w:val="00F55453"/>
    <w:rsid w:val="00F6446A"/>
    <w:rsid w:val="00F655D2"/>
    <w:rsid w:val="00F72DF0"/>
    <w:rsid w:val="00F779B6"/>
    <w:rsid w:val="00F86D48"/>
    <w:rsid w:val="00F87B7A"/>
    <w:rsid w:val="00FB4DD3"/>
    <w:rsid w:val="00FD62F9"/>
    <w:rsid w:val="00FE7723"/>
    <w:rsid w:val="77395D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rFonts w:ascii="Calibri" w:hAnsi="Calibri" w:cs="Calibri"/>
      <w:kern w:val="0"/>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table" w:styleId="5">
    <w:name w:val="Table Grid"/>
    <w:basedOn w:val="4"/>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semiHidden/>
    <w:qFormat/>
    <w:locked/>
    <w:uiPriority w:val="99"/>
    <w:rPr>
      <w:sz w:val="18"/>
      <w:szCs w:val="18"/>
    </w:rPr>
  </w:style>
  <w:style w:type="character" w:customStyle="1" w:styleId="8">
    <w:name w:val="页脚 Char"/>
    <w:link w:val="2"/>
    <w:semiHidden/>
    <w:qFormat/>
    <w:locked/>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5</Pages>
  <Words>390</Words>
  <Characters>2226</Characters>
  <Lines>18</Lines>
  <Paragraphs>5</Paragraphs>
  <TotalTime>0</TotalTime>
  <ScaleCrop>false</ScaleCrop>
  <LinksUpToDate>false</LinksUpToDate>
  <CharactersWithSpaces>2611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2013-10-07T12:35:00Z</dcterms:created>
  <dc:creator>lijianguo33</dc:creator>
  <cp:lastModifiedBy>Administrator</cp:lastModifiedBy>
  <cp:lastPrinted>2014-09-03T00:34:00Z</cp:lastPrinted>
  <dcterms:modified xsi:type="dcterms:W3CDTF">2019-12-16T09:45:35Z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